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VBVG 2023 — Sonderfälle der Betreuung</w:t>
      </w:r>
    </w:p>
    <w:p>
      <w:r>
        <w:rPr>
          <w:color w:val="555555"/>
          <w:sz w:val="18"/>
        </w:rPr>
        <w:t xml:space="preserve">Vormünder- und Betreuervergütungsgesetz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Dem Sterilisationsbetreuer nach § 1817 Absatz 2 des Bürgerlichen Gesetzbuchs und dem Ergänzungsbetreuer nach § 1817 Absatz 5 des Bürgerlichen Gesetzbuchs ist eine Vergütung nach § 3 zu bewilligen. Vorschuss oder Ersatz der Aufwendungen kann er in entsprechender Anwendung von § 1877 Absatz 1 des Bürgerlichen Gesetzbuchs verlangen; § 4 Absatz 2 gilt entsprechend. Allgemeine Verwaltungskosten werden nicht ersetzt.</w:t>
      </w:r>
    </w:p>
    <w:p>
      <w:r>
        <w:t xml:space="preserve">(2) Dem Verhinderungsbetreuer nach § 1817 Absatz 4 des Bürgerlichen Gesetzbuchs ist die Vergütung nach § 8 in Verbindung mit § 9 zu bewilligen und im Fall des § 9 nach Tagen zu teilen; § 187 Absatz 1 und § 188 Absatz 1 des Bürgerlichen Gesetzbuchs gelten entsprechend.</w:t>
      </w:r>
    </w:p>
    <w:p>
      <w:r>
        <w:rPr>
          <w:color w:val="555555"/>
          <w:sz w:val="17"/>
        </w:rPr>
        <w:t xml:space="preserve">Zitiervorschlag: § 11 VBVG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https://recht.nulegal.eu/gesetze/VBVG%202023/11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