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VBVG 2023 — Berufsmäßigkeit; Vergütung und Aufwendungsersatz</w:t>
      </w:r>
    </w:p>
    <w:p>
      <w:r>
        <w:rPr>
          <w:color w:val="555555"/>
          <w:sz w:val="18"/>
        </w:rPr>
        <w:t xml:space="preserve">Vormünder- und Betreuervergütungsgesetz</w:t>
      </w:r>
    </w:p>
    <w:p>
      <w:r>
        <w:rPr>
          <w:color w:val="555555"/>
          <w:sz w:val="18"/>
        </w:rPr>
        <w:t xml:space="preserve">Stand: 07.07.2022 (konsolidierte Textfassung, kein amtliches Inkrafttretensdatum)</w:t>
      </w:r>
    </w:p>
    <w:p>
      <w:r>
        <w:t xml:space="preserve">(1) Das Familiengericht stellt die Berufsmäßigkeit im Sinne von § 1808 Absatz 3 des Bürgerlichen Gesetzbuchs fest, wenn dem Vormund in einem solchen Umfang Vormundschaften übertragen sind, dass er sie nur im Rahmen seiner Berufsausübung führen kann, oder wenn zu erwarten ist, dass ihm in absehbarer Zeit in einem solchen Umfang Vormundschaften übertragen sein werden. Berufsmäßigkeit liegt im Regelfall vor, wenn der Vormund mehr als zehn Vormundschaften führt oder für die Führung der Vormundschaft voraussichtlich mindestens 20 Wochenstunden erforderlich sind.</w:t>
      </w:r>
    </w:p>
    <w:p>
      <w:r>
        <w:t xml:space="preserve">(2) Unabhängig von den Voraussetzungen nach Absatz 1 liegt Berufsmäßigkeit vor, wenn ein Vereinsvormund oder das Jugendamt als Vormund oder ein Vormundschaftsverein oder das Jugendamt als vorläufiger Vormund bestellt wird.</w:t>
      </w:r>
    </w:p>
    <w:p>
      <w:r>
        <w:t xml:space="preserve">(3) Stellt das Familiengericht die Berufsmäßigkeit nach Absatz 1 Satz 1 fest oder liegt Berufsmäßigkeit gemäß Absatz 2 vor, kann der Vormund vom Mündel Vergütung und Aufwendungsersatz nach Maßgabe der nachstehenden Bestimmungen verlangen. Das Gericht hat die Zahlung zu bewilligen.</w:t>
      </w:r>
    </w:p>
    <w:p>
      <w:r>
        <w:rPr>
          <w:color w:val="555555"/>
          <w:sz w:val="17"/>
        </w:rPr>
        <w:t xml:space="preserve">Zitiervorschlag: § 1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