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VBD — Organisation und Kosten</w:t>
      </w:r>
    </w:p>
    <w:p>
      <w:r>
        <w:rPr>
          <w:color w:val="555555"/>
          <w:sz w:val="18"/>
        </w:rPr>
        <w:t xml:space="preserve">Verordnung über barrierefreie Dokumente in der Bundesverwaltung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Dokumente können den Berechtigten durch den Träger öffentlicher Gewalt selbst, durch eine andere Behörde oder durch eine Beauftragung Dritter in einer für sie wahrnehmbaren Form zugänglich gemacht werden.</w:t>
      </w:r>
    </w:p>
    <w:p>
      <w:r>
        <w:t xml:space="preserve">(2) Die Bundesfachstelle für Barrierefreiheit nach § 13 des Behindertengleichstellungsgesetzes berät und unterstützt die Träger öffentlicher Gewalt bei ihrer Aufgabe, blinden Menschen und Menschen mit anderen Sehbehinderungen nach Maßgabe dieser Rechtsverordnung Dokumente zugänglich zu machen.</w:t>
      </w:r>
    </w:p>
    <w:p>
      <w:r>
        <w:t xml:space="preserve">(3) Die Vorschriften über die Kosten (Gebühren und Auslagen) öffentlich-rechtlicher Verwaltungstätigkeit bleiben unberührt. Auslagen für besondere Aufwendungen, die dadurch entstehen, dass den Berechtigten Dokumente in einer für sie wahrnehmbaren Form zugänglich gemacht werden, werden nicht erhoben.</w:t>
      </w:r>
    </w:p>
    <w:p>
      <w:r>
        <w:rPr>
          <w:color w:val="555555"/>
          <w:sz w:val="17"/>
        </w:rPr>
        <w:t xml:space="preserve">Zitiervorschlag: § 6 VBD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https://recht.nulegal.eu/gesetze/VBD/6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