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VAPbD LG 2.2 (Nordrhein-Westfalen) — Erwerb der Laufbahnvoraussetzungen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der Ämtergruppe des ersten Einstiegsamts der Laufbahngruppe 2 erwerben die Befähigung für die Ämtergruppe des zweiten Einstiegsamts der Laufbahngruppe 2 des bautechnischen Verwaltungsdienstes im Land Nordrhein-Westfalen nach Maßgabe der Vorschriften zur beruflichen Entwicklung innerhalb der Laufbahngruppe 2 der Laufbahnverordnung.</w:t>
      </w:r>
    </w:p>
    <w:p>
      <w:r>
        <w:t xml:space="preserve">(2) Ein Masterstudiengang, der zur beruflichen Entwicklung gemäß § 26 der Laufbahnverordnung befähigt, soll den Vorgaben des § 2 Absatz 1 in Verbindung mit den Sondervorschriften der Fachrichtungen entsprechen.</w:t>
      </w:r>
    </w:p>
    <w:p>
      <w:r>
        <w:t xml:space="preserve">Teil 4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29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