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VAPbD LG 2.2 (Nordrhein-Westfalen) — Ausführungsbestimmungen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zur Ausführung dieser Verordnung erforderlichen sonstigen Einzelheiten sind in den Anlagen 5 und 6 geregelt.</w:t>
      </w:r>
    </w:p>
    <w:p>
      <w:r>
        <w:t xml:space="preserve">Teil 3</w:t>
      </w:r>
    </w:p>
    <w:p>
      <w:r>
        <w:t xml:space="preserve">Berufliche Entwicklung innerhalb der Laufbahngruppe 2</w:t>
      </w:r>
    </w:p>
    <w:p>
      <w:r>
        <w:rPr>
          <w:color w:val="555555"/>
          <w:sz w:val="17"/>
        </w:rPr>
        <w:t xml:space="preserve">Zitiervorschlag: § 28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