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VAPbD LG 2.2 (Nordrhein-Westfalen) — Sondervorschriften der Fachrichtungen</w:t>
      </w:r>
    </w:p>
    <w:p>
      <w:r>
        <w:rPr>
          <w:color w:val="555555"/>
          <w:sz w:val="18"/>
        </w:rPr>
        <w:t xml:space="preserve">Ausbildungs- und Prüfungsverordnung Bau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Gliederung der Ausbildung, sonstige Vorschriften zu den Ausbildungsabschnitten, der Ausbildungsplan, die Prüfungsfächer und Prüfungszeiten sowie das Prüfstoffverzeichnis sind für die jeweilige Fachrichtung in der Anlage 1 geregelt.</w:t>
      </w:r>
    </w:p>
    <w:p>
      <w:r>
        <w:rPr>
          <w:color w:val="555555"/>
          <w:sz w:val="17"/>
        </w:rPr>
        <w:t xml:space="preserve">Zitiervorschlag: § 27 VAPbD LG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https://recht.nulegal.eu/gesetze/VAPbD%20LG%202.2/27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