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VAPbD LG 2.2 (Nordrhein-Westfalen) — Prüfungsakte</w:t>
      </w:r>
    </w:p>
    <w:p>
      <w:r>
        <w:rPr>
          <w:color w:val="555555"/>
          <w:sz w:val="18"/>
        </w:rPr>
        <w:t xml:space="preserve">Ausbildungs- und Prüfungsverordnung Bau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am Staatsexamen teilgenommen hat, kann auf Antrag innerhalb der Rechtsmittelfrist seine Prüfungsakte in der Geschäftsstelle des Oberprüfungsamtes einsehen. Der Antrag nach Satz 1 ist an die Direktorin oder den Direktor des Oberprüfungsamtes zu stellen. Die Einsichtnahme ist in der Prüfungsakte zu vermerken.</w:t>
      </w:r>
    </w:p>
    <w:p>
      <w:r>
        <w:t xml:space="preserve">(2) Nach fünf Jahren wird die Prüfungsakte vernichtet.</w:t>
      </w:r>
    </w:p>
    <w:p>
      <w:r>
        <w:rPr>
          <w:color w:val="555555"/>
          <w:sz w:val="17"/>
        </w:rPr>
        <w:t xml:space="preserve">Zitiervorschlag: § 26 VAPbD LG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https://recht.nulegal.eu/gesetze/VAPbD%20LG%202.2/26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