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VAPbD LG 2.2 (Nordrhein-Westfalen) — Entlassung aus dem technischen Referendariat</w:t>
      </w:r>
    </w:p>
    <w:p>
      <w:r>
        <w:rPr>
          <w:color w:val="555555"/>
          <w:sz w:val="18"/>
        </w:rPr>
        <w:t xml:space="preserve">Ausbildungs- und Prüfungsverordnung Bau 2.2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Einstellungsbehörde kann Referendarinnen und Referendare unter Widerruf des Beamtenverhältnisses aus dem technischen Referendariat entlassen, wenn ein wichtiger Grund vorliegt.</w:t>
      </w:r>
    </w:p>
    <w:p>
      <w:r>
        <w:t xml:space="preserve">Dies ist insbesondere der Fall, wenn</w:t>
      </w:r>
    </w:p>
    <w:p>
      <w:r>
        <w:t xml:space="preserve">1. sie sich durch Verletzung der beamtenrechtlichen Pflichten unwürdig erweisen, im Dienst belassen zu werden,</w:t>
      </w:r>
    </w:p>
    <w:p>
      <w:r>
        <w:t xml:space="preserve">2. sie die charakterlichen, geistigen oder körperlichen Anforderungen nicht erfüllen,</w:t>
      </w:r>
    </w:p>
    <w:p>
      <w:r>
        <w:t xml:space="preserve">3. zu erkennen ist, dass sie das Ziel der Ausbildung nicht erreichen werden, oder</w:t>
      </w:r>
    </w:p>
    <w:p>
      <w:r>
        <w:t xml:space="preserve">4. sie es schuldhaft versäumen, die Zulassung zum Staatsexamen oder die Zulassung zur Wiederholung des Staatsexamens fristgemäß zu beantragen.</w:t>
      </w:r>
    </w:p>
    <w:p>
      <w:r>
        <w:t xml:space="preserve">Teil 2</w:t>
      </w:r>
    </w:p>
    <w:p>
      <w:r>
        <w:t xml:space="preserve">Staatsexamen - Prüfungsordnung</w:t>
      </w:r>
    </w:p>
    <w:p>
      <w:r>
        <w:rPr>
          <w:color w:val="555555"/>
          <w:sz w:val="17"/>
        </w:rPr>
        <w:t xml:space="preserve">Zitiervorschlag: § 11 VAPbD LG 2.2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https://recht.nulegal.eu/gesetze/VAPbD%20LG%202.2/11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