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VAPVet (Nordrhein-Westfalen) — Beurteilung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Gegen Ende der berufspraktischen Ausbildung in der Einstellungsbehörde ist von der Ausbildungsleitung eine Beurteilung nach dem Muster der Anlage 2 zu erstellen, der oder dem Auszubildenden in ihrem vollen Wortlaut zu eröffnen und zu besprechen. Die Beurteilung muss mit einer der in § 22 Absatz 1 genannten Noten abschließen. Die Beurteilung ist dem Prüfungsausschuss bei der Anmeldung zur Prüfung vorzulegen und zu der Prüfungsakte zu nehmen.</w:t>
      </w:r>
    </w:p>
    <w:p>
      <w:r>
        <w:t xml:space="preserve">Abschnitt 2</w:t>
      </w:r>
    </w:p>
    <w:p>
      <w:r>
        <w:t xml:space="preserve">Prüfung</w:t>
      </w:r>
    </w:p>
    <w:p>
      <w:r>
        <w:rPr>
          <w:color w:val="555555"/>
          <w:sz w:val="17"/>
        </w:rPr>
        <w:t xml:space="preserve">Zitiervorschlag: § 12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