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VAPV 2.2 (Nordrhein-Westfalen) — Beendigung des Beamtenverhältnisses</w:t>
      </w:r>
    </w:p>
    <w:p>
      <w:r>
        <w:rPr>
          <w:color w:val="555555"/>
          <w:sz w:val="18"/>
        </w:rPr>
        <w:t xml:space="preserve">Ausbildungs- und Prüfungsverordnung Vermessung LG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Beamtenverhältnis der Referendarin oder des Referendars endet mit dem Tag, an dem sie oder er das Staatsexamen bestanden hat oder ihr oder ihm das Nichtbestehen der Wiederholungsprüfung schriftlich bekanntgegeben wurde.</w:t>
      </w:r>
    </w:p>
    <w:p>
      <w:r>
        <w:t xml:space="preserve">Dritter Teil</w:t>
      </w:r>
    </w:p>
    <w:p>
      <w:r>
        <w:t xml:space="preserve">Berufliche Entwicklung innerhalb der Laufbahngruppe 2</w:t>
      </w:r>
    </w:p>
    <w:p>
      <w:r>
        <w:rPr>
          <w:color w:val="555555"/>
          <w:sz w:val="17"/>
        </w:rPr>
        <w:t xml:space="preserve">Zitiervorschlag: § 27 VAPV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https://recht.nulegal.eu/gesetze/VAPV%202.2/27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