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VAPV 2.1 (Nordrhein-Westfalen) — Vorzeitige Entlassung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Anwärterin oder der Anwärter ist zu entlassen,</w:t>
      </w:r>
    </w:p>
    <w:p>
      <w:r>
        <w:t xml:space="preserve">1. wenn sie oder er die für den Vorbereitungsdienst erforderlichen persönlichen und fachlichen Anforderungen nicht mehr erfüllt,</w:t>
      </w:r>
    </w:p>
    <w:p>
      <w:r>
        <w:t xml:space="preserve">2. wenn das Ausbildungsziel eines Ausbildungsabschnitts nicht erreicht und der Vorbereitungsdienst aus solchem Anlass bereits einmal verlängert worden ist oder</w:t>
      </w:r>
    </w:p>
    <w:p>
      <w:r>
        <w:t xml:space="preserve">3. sonst ein wichtiger Grund vorliegt.</w:t>
      </w:r>
    </w:p>
    <w:p>
      <w:r>
        <w:rPr>
          <w:color w:val="555555"/>
          <w:sz w:val="17"/>
        </w:rPr>
        <w:t xml:space="preserve">Zitiervorschlag: § 8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