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VAPV 2.1 (Nordrhein-Westfalen) — Übergangsregelung</w:t>
      </w:r>
    </w:p>
    <w:p>
      <w:r>
        <w:rPr>
          <w:color w:val="555555"/>
          <w:sz w:val="18"/>
        </w:rPr>
        <w:t xml:space="preserve">Ausbildungs- und Prüfungsverordnung Vermessung LG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Ausbildung und Prüfung richtet sich nach der jeweils zum Einstellungstermin geltenden Fassung dieser Verordnung.</w:t>
      </w:r>
    </w:p>
    <w:p>
      <w:r>
        <w:rPr>
          <w:color w:val="555555"/>
          <w:sz w:val="17"/>
        </w:rPr>
        <w:t xml:space="preserve">Zitiervorschlag: § 40 VAPV 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https://recht.nulegal.eu/gesetze/VAPV%202.1/40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