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VAPV 2.1 (Nordrhein-Westfalen) — Gestaltung der Ausbildung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dualen Studium werden bei den Ausbildungsstellen die in Anlage 1 aufgeführten Ausbildungsinhalte vermittelt. Die konkreten Ausbildungszeiten sind jeweils vor Beginn der Ausbildung auf die Semester- und Prüfungszeiten abzustimmen.</w:t>
      </w:r>
    </w:p>
    <w:p>
      <w:r>
        <w:t xml:space="preserve">(2) Das siebte Semester (Praxisphase) und die Bachelorarbeit des Bachelorstudienganges sollen in der Ausbildungsbehörde abgeleistet werden.</w:t>
      </w:r>
    </w:p>
    <w:p>
      <w:r>
        <w:rPr>
          <w:color w:val="555555"/>
          <w:sz w:val="17"/>
        </w:rPr>
        <w:t xml:space="preserve">Zitiervorschlag: § 38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https://recht.nulegal.eu/gesetze/VAPV%202.1/38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