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VAP2.2-Feu (Nordrhein-Westfalen) — Mündlicher Teil der Facharbeit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mündliche Teil der Facharbeit (Facharbeit Teil II) ist die Verteidigung der Facharbeit Teil I vor dem Prüfungsausschuss.</w:t>
      </w:r>
    </w:p>
    <w:p>
      <w:r>
        <w:t xml:space="preserve">(2) Im Rahmen der Verteidigung werden die Ergebnisse vor dem Prüfungsausschuss 15 Minuten präsentiert und in einem halbstündigen Fachgespräch diskutiert.</w:t>
      </w:r>
    </w:p>
    <w:p>
      <w:r>
        <w:t xml:space="preserve">(3) Das arithmetische Mittel der Punktwerte der beiden Teile der Facharbeit ergibt die Gesamtnote für die Facharbeit.</w:t>
      </w:r>
    </w:p>
    <w:p>
      <w:r>
        <w:rPr>
          <w:color w:val="555555"/>
          <w:sz w:val="17"/>
        </w:rPr>
        <w:t xml:space="preserve">Zitiervorschlag: § 23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