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VAP2.1 (Nordrhein-Westfalen)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Außer Kraft: Volltext ist seit 02.09.2026 nicht mehr im VAP2.1 enthalten. Angezeigt wird die letzte bekannte Fassung, Stand 26.08.2026.</w:t>
      </w:r>
    </w:p>
    <w:p>
      <w:r>
        <w:t xml:space="preserve">Vom 5. August 2008</w:t>
      </w:r>
    </w:p>
    <w:p>
      <w:r>
        <w:t xml:space="preserve">Aufgrund des § 16 des Landesbeamtengesetzes in der Fassung der Bekanntmachung vom 1. Mai 1981 (GV. NRW. S. 234), zuletzt geändert durch Artikel 3 des Zweiten Gesetzes zum Bürokratieabbau (Bürokratieabbaugesetz II) vom 9. Oktober 2007 (GV. NRW. S. 393), wird im Einvernehmen mit dem Finanzministerium verordnet:</w:t>
      </w:r>
    </w:p>
    <w:p>
      <w:r>
        <w:t xml:space="preserve">Teil I</w:t>
      </w:r>
    </w:p>
    <w:p>
      <w:r>
        <w:t xml:space="preserve">Allgemeine Regelungen</w:t>
      </w:r>
    </w:p>
    <w:p>
      <w:r>
        <w:rPr>
          <w:color w:val="555555"/>
          <w:sz w:val="17"/>
        </w:rPr>
        <w:t xml:space="preserve">Zitiervorschlag: Volltext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