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VAP2.1 (Nordrhein-Westfalen) — Anerkennung anderer Laufbahnen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dem Erwerb einer Laufbahnbefähigung für eine der in § 1 genannten Laufbahnen besteht zugleich eine Laufbahnbefähigung für alle dort genannten Laufbahnen.</w:t>
      </w:r>
    </w:p>
    <w:p>
      <w:r>
        <w:t xml:space="preserve">(2) Mit dem Erwerb einer Laufbahnbefähigung für die Ämtergruppe des ersten Einstiegsamtes der Laufbahngruppe 2 in der Finanzverwaltung als Diplom-Finanzwirtin oder Diplom-Finanzwirt oder für die Ämtergruppe des ersten Einstiegsamtes der Laufbahngruppe 2 des Justizdienstes als Diplom-Rechtspflegerin (FH) oder Diplom-Rechtspfleger (FH) besteht zugleich eine Laufbahnbefähigung für alle in § 1 genannten Laufbahnen.</w:t>
      </w:r>
    </w:p>
    <w:p>
      <w:r>
        <w:rPr>
          <w:color w:val="555555"/>
          <w:sz w:val="17"/>
        </w:rPr>
        <w:t xml:space="preserve">Zitiervorschlag: § 1a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