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VAP2.1 (Nordrhein-Westfalen) — Studienordnung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Die Hochschule wird ermächtigt, ergänzende Regelungen zur Durchführung der Ausbildung und Prüfung im Bachelor-Studiengang in einer Studienordnung zu treffen. Insbesondere sind Regelungen zu treffen zu</w:t>
      </w:r>
    </w:p>
    <w:p>
      <w:r>
        <w:t xml:space="preserve">1. den Folgen der Nichterbringung von Prüfungsleistungen und des Rücktritts von einer Prüfung,</w:t>
      </w:r>
    </w:p>
    <w:p>
      <w:r>
        <w:t xml:space="preserve">2. den Folgen von Verstößen gegen Prüfungsvorschriften, insbesondere ordnungswidrigen Verhaltens,</w:t>
      </w:r>
    </w:p>
    <w:p>
      <w:r>
        <w:t xml:space="preserve">3. der Anrechnung von in anderen Studiengängen oder an anderen Hochschulen erbrachten Studienzeiten, Studien- und Prüfungsleistungen,</w:t>
      </w:r>
    </w:p>
    <w:p>
      <w:r>
        <w:t xml:space="preserve">4. die Einsicht in die Prüfungsakten nach den einzelnen Prüfungen oder einer abgeschlossenen Teilprüfung und</w:t>
      </w:r>
    </w:p>
    <w:p>
      <w:r>
        <w:t xml:space="preserve">5. gutachterlichen Stellungnahmen, Bescheinigungen nach § 19 des Gesetzes über den öffentlichen Gesundheitsdienst des Landes Nordrhein-Westfalen.</w:t>
      </w:r>
    </w:p>
    <w:p>
      <w:r>
        <w:t xml:space="preserve">(2) Die Studienordnung bedarf der Genehmigung durch das für Inneres zuständige Ministerium.</w:t>
      </w:r>
    </w:p>
    <w:p>
      <w:r>
        <w:rPr>
          <w:color w:val="555555"/>
          <w:sz w:val="17"/>
        </w:rPr>
        <w:t xml:space="preserve">Zitiervorschlag: § 17 VAP2.1 (Nordrhein-Westfalen)</w:t>
      </w:r>
    </w:p>
    <w:p>
      <w:r>
        <w:rPr>
          <w:color w:val="555555"/>
          <w:sz w:val="17"/>
        </w:rPr>
        <w:t xml:space="preserve">Quelle: nrwrecht, abgerufen 02.09.2026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