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VAP2.1 (Nordrhein-Westfalen) — Hochschulgrad, Laufbahnprüfung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Mit Bestehen der Hochschulprüfung verleiht die Hochschule einen Hochschulgrad „Bachelor of Laws“ beziehungsweise „Bachelor of Arts“.</w:t>
      </w:r>
    </w:p>
    <w:p>
      <w:r>
        <w:t xml:space="preserve">(2) Die erfolgreich abgeleistete Hochschulprüfung gilt zugleich als Laufbahnprüfung für die in § 1 genannte Laufbahn. Bei Studierenden gemäß § 6 Abs. 2 gilt die Hochschulprüfung als der Laufbahnprüfung gleichwertig.</w:t>
      </w:r>
    </w:p>
    <w:p>
      <w:r>
        <w:t xml:space="preserve">(3) Prüfungsakten sind mindestens vier Jahre aufzubewahren.</w:t>
      </w:r>
    </w:p>
    <w:p>
      <w:r>
        <w:rPr>
          <w:color w:val="555555"/>
          <w:sz w:val="17"/>
        </w:rPr>
        <w:t xml:space="preserve">Zitiervorschlag: § 14 VAP2.1 (Nordrhein-Westfalen)</w:t>
      </w:r>
    </w:p>
    <w:p>
      <w:r>
        <w:rPr>
          <w:color w:val="555555"/>
          <w:sz w:val="17"/>
        </w:rPr>
        <w:t xml:space="preserve">Quelle: nrwrecht, abgerufen 02.09.2026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