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VAP2.1 (Nordrhein-Westfalen) — Geltungsbereich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gilt für</w:t>
      </w:r>
    </w:p>
    <w:p>
      <w:r>
        <w:t xml:space="preserve">1. die Laufbahn der Ämtergruppe des ersten Einstiegsamtes der Laufbahngruppe 2 des allgemeinen Verwaltungsdienstes im Land Nordrhein-Westfalen,</w:t>
      </w:r>
    </w:p>
    <w:p>
      <w:r>
        <w:t xml:space="preserve">2. die Laufbahn der Ämtergruppe des ersten Einstiegsamtes der Laufbahngruppe 2 der Deutschen Rentenversicherung Rheinland und der Deutschen Rentenversicherung Westfalen und</w:t>
      </w:r>
    </w:p>
    <w:p>
      <w:r>
        <w:t xml:space="preserve">3. die Laufbahn der Ämtergruppe des ersten Einstiegsamtes der Laufbahngruppe 2 des allgemeinen Verwaltungsdienstes in den Gemeinden und Gemeindeverbänden im Land Nordrhein-Westfalen.</w:t>
      </w:r>
    </w:p>
    <w:p>
      <w:r>
        <w:rPr>
          <w:color w:val="555555"/>
          <w:sz w:val="17"/>
        </w:rPr>
        <w:t xml:space="preserve">Zitiervorschlag: § 1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