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VAP1.2 (Nordrhein-Westfalen) — Vorzeitige Entlassung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Eine Beamtin oder ein Beamter ist zu entlassen, wenn sie oder er</w:t>
      </w:r>
    </w:p>
    <w:p>
      <w:r>
        <w:t xml:space="preserve">1. die geistigen oder körperlichen Anforderungen nicht erfüllt oder sonst ein wichtiger Grund vorliegt oder</w:t>
      </w:r>
    </w:p>
    <w:p>
      <w:r>
        <w:t xml:space="preserve">2.) die in § 16 Absatz 3 geforderte Leistungsbewertung (Punktwert) endgültig nicht erreicht.</w:t>
      </w:r>
    </w:p>
    <w:p>
      <w:r>
        <w:t xml:space="preserve">(2) Für die Beamtinnen und Beamten in der Qualifizierung gilt Absatz 1 Nummer 1 mit der Maßgabe, dass sie aus der Einführungszeit ausscheiden.</w:t>
      </w:r>
    </w:p>
    <w:p>
      <w:r>
        <w:rPr>
          <w:color w:val="555555"/>
          <w:sz w:val="17"/>
        </w:rPr>
        <w:t xml:space="preserve">Zitiervorschlag: § 9 VAP1.2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