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VAP1.2 (Nordrhein-Westfalen) — Einführungslehrgang</w:t>
      </w:r>
    </w:p>
    <w:p>
      <w:r>
        <w:rPr>
          <w:color w:val="555555"/>
          <w:sz w:val="18"/>
        </w:rPr>
        <w:t xml:space="preserve">Ausbildungsverordnung zweites Einstiegsamt der Laufbahngruppe 1 des allgemeinen Verwaltungsdienstes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Beamtinnen und Beamten nehmen nach einer Einweisung in der Einstellungsbehörde an einem Einführungslehrgang teil, der in der Regel dreieinhalb Monate dauert und sich in zwei Teile gliedert. Zwischen dem ersten und dem zweiten Teil findet die praktische Ausbildung im Ausbildungsabschnitt 1 statt.</w:t>
      </w:r>
    </w:p>
    <w:p>
      <w:r>
        <w:t xml:space="preserve">(2) Während des Einführungslehrgangs soll festgestellt werden, ob die Beamtinnen und Beamten aufgrund ihrer Leistungen den Berufsanforderungen gerecht werden. Sie haben am Ende des gesamten Einführungslehrgangs vier Aufgaben aus verschiedenen Unterrichtsfächern zu lösen. Für die Lösung jeder Aufgabe stehen zwei Zeitstunden zur Verfügung. § 21 Absatz 2 bis 6, § 21a und § 22 Absatz 3 finden sinngemäß Anwendung. Spätestens zehn Tage vor dem ersten Termin sind die Fächer, aus denen die Aufgaben gestellt werden, bekanntzugeben.</w:t>
      </w:r>
    </w:p>
    <w:p>
      <w:r>
        <w:t xml:space="preserve">(3) Die Arbeiten sind von einer Dozentin oder einem Dozenten, die oder der in dem Lehrgang unterrichtet hat, zu bewerten. Die Einzelnoten sind zu addieren, das Ergebnis durch die Zahl 4 zu teilen. Ergibt die Rechnung den Punktwert 4,5 oder schlechter, so haben sich die Beamtinnen und Beamten in den Fächern, in denen die Leistungen mit weniger als der Note ,,ausreichend“ bewertet wurden, innerhalb von zwei Monaten nach dem Ende des Einführungslehrgangs einer nochmaligen schriftlichen Überprüfung zu unterziehen. Ergeben die neugeschriebenen Arbeiten und die mindestens mit ,,ausreichend“ bewerteten Arbeiten des Einführungslehrgangs nicht mindestens den Punktwert 5,00, so ist die Beamtin oder der Beamte aus dem Vorbereitungsdienst zu entlassen.</w:t>
      </w:r>
    </w:p>
    <w:p>
      <w:r>
        <w:rPr>
          <w:color w:val="555555"/>
          <w:sz w:val="17"/>
        </w:rPr>
        <w:t xml:space="preserve">Zitiervorschlag: § 16 VAP1.2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https://recht.nulegal.eu/gesetze/VAP1.2/16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