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 L 2.2 (Nordrhein-Westfalen) — Gliederung und Inhalt der Ausbildung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technische Referendariat gliedert sich in Ausbildungsabschnitte, deren Anzahl, Dauer und Inhalt im Rahmenausbildungsplan (Anlage 1) geregelt sind. Vorzugsweise sind Ausbildungsstationen in längere Ausbildungsabschnitte zu bündeln, um die notwendige exemplarische Ausbildungstiefe zu erreichen. Dabei soll selbstverantwortliches Handeln ein entsprechendes Gewicht erhalten. Priorität hat die Kompetenzvermittlung von methodischen Fähigkeiten im ganzheitlichen Arbeitsprozess.</w:t>
      </w:r>
    </w:p>
    <w:p>
      <w:r>
        <w:t xml:space="preserve">(2) Die Ausbildungsbehörde stellt für jede Referendarin und jeden Referendar einen Ausbildungsplan auf, der die Abschnitte, Zeiten und Ausbildungsstellen sowie den Ausbildungsinhalt entsprechend der Anlage 1 festlegt. Wünsche der Referendarin oder des Referendars können berücksichtigt werden. Die Ausbildungsbehörde ist dafür verantwortlich, dass der Ausbildungsplan eingehalten wird. Abweichungen sind nur in begründeten Fällen zulässig.</w:t>
      </w:r>
    </w:p>
    <w:p>
      <w:r>
        <w:t xml:space="preserve">(3) Die Ausbildung soll durch Lehrgänge, Seminare, Planspiele, e-Learning, Blended-Learning, Arbeitsgemeinschaften und Übungen in freier Rede sowie durch Exkursionen vertieft werden. Es ist Gelegenheit zur Teilnahme an Terminen, Verhandlungen, Sitzungen und dergleichen zu geben.</w:t>
      </w:r>
    </w:p>
    <w:p>
      <w:r>
        <w:t xml:space="preserve">(4) Die Referendarin oder der Referendar hat an der gemeinsamen Arbeitsgemeinschaft, die von den Ausbildungsleitungen der Bezirksregierungen eingerichtet ist, teilzunehmen.</w:t>
      </w:r>
    </w:p>
    <w:p>
      <w:r>
        <w:t xml:space="preserve">(5) Gegenstand der Arbeitsgemeinschaft ist es, die Referendarinnen oder die Referendare vor allem mit der Arbeitsweise in der Naturschutz- und Umweltverwaltung, insbesondere mit Organisation, Aufbau und Aufgaben der Landesbehörden vertraut zu machen und sie anzuleiten. Es sollen Kenntnisse vertieft und Anregungen für das Selbststudium sowie Gelegenheit zum freien Vortrag gegeben werden.</w:t>
      </w:r>
    </w:p>
    <w:p>
      <w:r>
        <w:t xml:space="preserve">(6) Management- und Kommunikationsqualifikationen sowie soziale Kompetenz sind in Theorie und Praxis zu vermitteln. Besonderer Wert ist darauf zu legen, dass Mechanismen und Techniken auf den Gebieten Motivation, Delegation, Gesprächsführung, Konfliktbewältigung, Rhetorik, Visualisierung und Moderation erlernt werden.</w:t>
      </w:r>
    </w:p>
    <w:p>
      <w:r>
        <w:t xml:space="preserve">(7) Betriebswirtschaftliche Kompetenzen, Haushaltsgrundlagen und -bewirtschaftung sowie Finanzplanungen, Führungskompetenzen, Qualifizierung im Bereich Recht, Projektmanagement und organisatorische Kompetenz sollen nach Möglichkeit fachrichtungsübergreifend ausgebildet werden, um ihrem interdisziplinären Ansatz gerecht zu werden. Dies gilt auch für Querschnittsbereiche wie Umweltverträglichkeit, Flächenbeanspruchung und Sozialverträglichkeit.</w:t>
      </w:r>
    </w:p>
    <w:p>
      <w:r>
        <w:t xml:space="preserve">(8) Um europarechtliche Rahmenbedingungen einschätzen zu lernen und berücksichtigen zu können, ist die EU-Kompetenz zu stärken. Aspekte über Entscheidungsprozesse auf EU-Ebene, Initiierung und Begleitung von EU-Fördermaßnahmen sowie fachpolitische Strategien sind deshalb in die einzelnen Ausbildungsabschnitte aufzunehmen. Geeignet dafür sind auch Hospitationen bei europäischen Institutionen und in europäischen Mitgliedsstaaten.</w:t>
      </w:r>
    </w:p>
    <w:p>
      <w:r>
        <w:t xml:space="preserve">(9) Insgesamt ergeben sich für das zweijährige technische Referendariat entsprechend dem Rahmenausbildungsplan (Anlage 1)</w:t>
      </w:r>
    </w:p>
    <w:p>
      <w:r>
        <w:t xml:space="preserve">- in der Regel 64 Wochen für die Ausbildungsabschnitte I bis III,</w:t>
      </w:r>
    </w:p>
    <w:p>
      <w:r>
        <w:t xml:space="preserve">- in der Regel 28 Wochen für den Ausbildungsabschnitt IV,</w:t>
      </w:r>
    </w:p>
    <w:p>
      <w:r>
        <w:t xml:space="preserve">- 12 Wochen Erholungsurlaub,</w:t>
      </w:r>
    </w:p>
    <w:p>
      <w:r>
        <w:t xml:space="preserve">zusammen 104 Wochen.</w:t>
      </w:r>
    </w:p>
    <w:p>
      <w:r>
        <w:rPr>
          <w:color w:val="555555"/>
          <w:sz w:val="17"/>
        </w:rPr>
        <w:t xml:space="preserve">Zitiervorschlag: § 8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