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VAP FD 2.2 (Nordrhein-Westfalen) — In-Kraft-Treten</w:t>
      </w:r>
    </w:p>
    <w:p>
      <w:r>
        <w:rPr>
          <w:color w:val="555555"/>
          <w:sz w:val="18"/>
        </w:rPr>
        <w:t xml:space="preserve">Ausbildungs- und Prüfungsverordnung Forstdienst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Ministerin</w:t>
      </w:r>
    </w:p>
    <w:p>
      <w:r>
        <w:t xml:space="preserve">für Umwelt, Raumordnung und Landwirtschaft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t xml:space="preserve">(Dritter Teil des Gesetzes v. 3.5.2005 (GV. NRW. S. 498))</w:t>
      </w:r>
    </w:p>
    <w:p>
      <w:r>
        <w:t xml:space="preserve">Die auf dem Zweiten Teil beruhenden Änderungen der Rechtsverordnungen können auf Grund der jeweils einschlägigen Ermächtigungen durch Rechtsverordnung geändert oder aufgehoben werden.</w:t>
      </w:r>
    </w:p>
    <w:p>
      <w:r>
        <w:rPr>
          <w:color w:val="555555"/>
          <w:sz w:val="17"/>
        </w:rPr>
        <w:t xml:space="preserve">Zitiervorschlag: § 19 VAP FD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https://recht.nulegal.eu/gesetze/VAP%20FD%202.2/19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