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ArchD (Nordrhein-Westfalen) — Inkrafttreten, Außerkrafttreten</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Ausbildungsverordnung höherer Archivdienst vom 1. Juni 2010 (GV. NRW. S. 294), die durch Verordnung vom 5. Dezember 2013 (GV. NRW. S. 845) geändert worden ist, außer Kraft.</w:t>
      </w:r>
    </w:p>
    <w:p>
      <w:r>
        <w:t xml:space="preserve">Die Ministerin</w:t>
      </w:r>
    </w:p>
    <w:p>
      <w:r>
        <w:t xml:space="preserve">für Familie, Kinder, Jugend,</w:t>
      </w:r>
    </w:p>
    <w:p>
      <w:r>
        <w:t xml:space="preserve">Kultur und Sport</w:t>
      </w:r>
    </w:p>
    <w:p>
      <w:r>
        <w:t xml:space="preserve">des Landes Nordrhein-Westfalen</w:t>
      </w:r>
    </w:p>
    <w:p>
      <w:r>
        <w:rPr>
          <w:color w:val="555555"/>
          <w:sz w:val="17"/>
        </w:rPr>
        <w:t xml:space="preserve">Zitiervorschlag: § 17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