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VAP ArchD (Nordrhein-Westfalen) — Prüfung</w:t>
      </w:r>
    </w:p>
    <w:p>
      <w:r>
        <w:rPr>
          <w:color w:val="555555"/>
          <w:sz w:val="18"/>
        </w:rPr>
        <w:t xml:space="preserve">Ausbildungsverordnung Archivdienst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Ausbildung endet mit dem Ablegen der archivarischen Staatsprüfung für den höheren Archivdienst an der Archivschule Marburg. Leistungsbewertung und Staatsprüfung bestimmen sich nach den für die Archivschule Marburg jeweils maßgebenden Prüfungsvorschriften.</w:t>
      </w:r>
    </w:p>
    <w:p>
      <w:r>
        <w:rPr>
          <w:color w:val="555555"/>
          <w:sz w:val="17"/>
        </w:rPr>
        <w:t xml:space="preserve">Zitiervorschlag: § 15 VAP ArchD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https://recht.nulegal.eu/gesetze/VAP%20ArchD/15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