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VAGEWGDG 3</w:t>
      </w:r>
    </w:p>
    <w:p>
      <w:r>
        <w:rPr>
          <w:color w:val="555555"/>
          <w:sz w:val="18"/>
        </w:rPr>
        <w:t xml:space="preserve">Drittes Durchführungsgesetz/EWG zum VAG</w:t>
      </w:r>
    </w:p>
    <w:p>
      <w:r>
        <w:rPr>
          <w:color w:val="555555"/>
          <w:sz w:val="18"/>
        </w:rPr>
        <w:t xml:space="preserve">Stand: 10.06.2019 (konsolidierte Textfassung, kein amtliches Inkrafttretensdatum)</w:t>
      </w:r>
    </w:p>
    <w:p>
      <w:r>
        <w:t xml:space="preserve">Auf die zur Zeit des Inkrafttretens dieses Gesetzes bestehenden Kraftfahrzeug-Haftpflichtversicherungsverhältnisse finden Änderungen der Tarife (Prämie und Tarifbestimmungen) für die Kraftfahrzeug-Haftpflichtversicherung vom Beginn der nächsten Versicherungsperiode an Anwendung, wenn der Versicherer dem Versicherungsnehmer die Tarifänderung unter Kenntlichmachung der Unterschiede des alten und neuen Tarifs spätestens einen Monat vor Inkrafttreten mitteilt und ihn schriftlich über sein Kündigungsrecht belehrt. Das gleiche gilt für Versicherungsverhältnisse, die bis zum 31. Dezember 1994 zu den von der Aufsichtsbehörde vor dem 29. Juli 1994 genehmigten Versicherungsbedingungen geschlossen werden.</w:t>
      </w:r>
    </w:p>
    <w:p>
      <w:r>
        <w:rPr>
          <w:color w:val="555555"/>
          <w:sz w:val="17"/>
        </w:rPr>
        <w:t xml:space="preserve">Zitiervorschlag: § 8 VAGEWGDG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https://recht.nulegal.eu/gesetze/VAGEWGDG%203/8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