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VAGEWGDG 3</w:t>
      </w:r>
    </w:p>
    <w:p>
      <w:r>
        <w:rPr>
          <w:color w:val="555555"/>
          <w:sz w:val="18"/>
        </w:rPr>
        <w:t xml:space="preserve">Drittes Durchführungsgesetz/EWG zum VAG</w:t>
      </w:r>
    </w:p>
    <w:p>
      <w:r>
        <w:rPr>
          <w:color w:val="555555"/>
          <w:sz w:val="18"/>
        </w:rPr>
        <w:t xml:space="preserve">Stand: 10.06.2019 (konsolidierte Textfassung, kein amtliches Inkrafttretensdatum)</w:t>
      </w:r>
    </w:p>
    <w:p>
      <w:r>
        <w:t xml:space="preserve">(1) Auf die zur Zeit des Inkrafttretens dieses Gesetzes bestehenden Krankenversicherungsverhältnisse finden Änderungen der Tarife (Prämie und Tarifbestimmungen) nach Maßgabe dieses Gesetzes Anwendung, wenn der Versicherer dem Versicherungsnehmer die Tarifänderung unter Kenntlichmachung der Unterschiede des alten und neuen Tarifs spätestens einen Monat vor Inkrafttreten mitteilt und ihn schriftlich über sein Kündigungsrecht belehrt.</w:t>
      </w:r>
    </w:p>
    <w:p>
      <w:r>
        <w:t xml:space="preserve">(2) Ist bei einem zur Zeit des Inkrafttretens dieses Gesetzes bestehenden Krankenversicherungsverhältnis eine Vereinbarung über eine Prämienanpassung nicht getroffen und das ordentliche Kündigungsrecht des Versicherers nicht ausgeschlossen, so gilt § 178i des Gesetzes über den Versicherungsvertrag mit der Maßgabe, daß dem Versicherer das Recht zusteht, die Prämie entsprechend den berichtigten Berechnungsgrundlagen neu festzusetzen, wenn ein unabhängiger Treuhänder die Berechnungsgrundlage überprüft und der Prämienanpassung zugestimmt hat.</w:t>
      </w:r>
    </w:p>
    <w:p>
      <w:r>
        <w:rPr>
          <w:color w:val="555555"/>
          <w:sz w:val="17"/>
        </w:rPr>
        <w:t xml:space="preserve">Zitiervorschlag: § 7 VAGEWGDG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https://recht.nulegal.eu/gesetze/VAGEWGDG%203/7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