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VAGBbg (Brandenburg) — Förmliche Voraussetzungen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Volksinitiative muss den mit Gründen versehenen Wortlaut eines Gesetzentwurfes oder den Wortlaut einer anderen Vorlage nach § 5 dieses Gesetzes enthalten. Sie ist zustande gekommen, wenn</w:t>
      </w:r>
    </w:p>
    <w:p>
      <w:r>
        <w:t xml:space="preserve">sie durch die überprüfbare, persönliche Unterschrift von mindestens zwanzigtausend Einwohnerinnen und Einwohnern, die im Zeitpunkt der Unterzeichnung nach den § 4 das Recht haben, sich an Volksinitiativen zu beteiligen, auf gesonderten Unterschriftsbogen (§ 8) unterstützt worden ist; die Unterzeichnung darf frühestens ein Jahr vor Eingang der Volksinitiative beim Landtag erfolgt sein,</w:t>
      </w:r>
    </w:p>
    <w:p>
      <w:r>
        <w:t xml:space="preserve">ihr die Namen der fünf Vertreterinnen und Vertreter beigefügt sind; für jede Vertreterin und jeden Vertreter ist eine Stellvertreterin oder ein Stellvertreter zu benennen.</w:t>
      </w:r>
    </w:p>
    <w:p>
      <w:r>
        <w:t xml:space="preserve">(2) § 5 Absatz 4 gilt entsprechend.</w:t>
      </w:r>
    </w:p>
    <w:p>
      <w:r>
        <w:rPr>
          <w:color w:val="555555"/>
          <w:sz w:val="17"/>
        </w:rPr>
        <w:t xml:space="preserve">Zitiervorschlag: § 6 VAGBbg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