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VAGBbg (Brandenburg) — Volksinitiative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 dem Landtag durch Volksinitiative unterbreiteter Antrag auf Auflösung des Landtages muss von mindestens hundertfünfzigtausend stimmberechtigten Personen unterzeichnet sein. Im übrigen finden die Vorschriften der §§ 5, 6, 8 bis 12 entsprechend Anwendung.</w:t>
      </w:r>
    </w:p>
    <w:p>
      <w:r>
        <w:rPr>
          <w:color w:val="555555"/>
          <w:sz w:val="17"/>
        </w:rPr>
        <w:t xml:space="preserve">Zitiervorschlag: § 55 VAGBbg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