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VAGBbg (Brandenburg) — Ergebnis des Volksentscheides</w:t>
      </w:r>
    </w:p>
    <w:p>
      <w:r>
        <w:rPr>
          <w:color w:val="555555"/>
          <w:sz w:val="18"/>
        </w:rPr>
        <w:t xml:space="preserve">Volksabstimmungsgesetz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 Gesetzentwurf oder eine Vorlage nach § 5 dieses Gesetzes ist durch Volksentscheid angenommen, wenn die Mehrheit derjenigen, die ihre Stimme abgegeben haben, jedoch mindestens ein Viertel der stimmberechtigten Personen, zugestimmt hat.</w:t>
      </w:r>
    </w:p>
    <w:p>
      <w:r>
        <w:t xml:space="preserve">(2) Sind bei einer gleichzeitigen Abstimmung über mehrere Gesetzentwürfe oder andere Vorlagen nach § 5 dieses Gesetzes, die den gleichen Gegenstand betreffen, inhaltlich aber miteinander nicht vereinbar sind, zweimal oder mehrfach die Voraussetzungen für die Annahme nach Absatz 1 gegeben, so ist der Gesetzentwurf oder die andere Vorlage nach § 5 dieses Gesetzes angenommen, welcher beziehungsweise welche die meisten Ja-Stimmen erhalten hat.</w:t>
      </w:r>
    </w:p>
    <w:p>
      <w:r>
        <w:rPr>
          <w:color w:val="555555"/>
          <w:sz w:val="17"/>
        </w:rPr>
        <w:t xml:space="preserve">Zitiervorschlag: § 50 VAGBbg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https://recht.nulegal.eu/gesetze/VAGBbg/50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