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VAGBbg (Brandenburg) — Feststellung des Ergebnisses</w:t>
      </w:r>
    </w:p>
    <w:p>
      <w:r>
        <w:rPr>
          <w:color w:val="555555"/>
          <w:sz w:val="18"/>
        </w:rPr>
        <w:t xml:space="preserve">Volksabstimmungsgesetz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Abstimmungsbehörde stellt unverzüglich nach Ablauf der Eintragungsfrist die Zahl der gültigen und ungültigen Eintragungen fest und übermittelt sie unverzüglich der Kreisabstimmungsleiterin oder dem Kreisabstimmungsleiter.</w:t>
      </w:r>
    </w:p>
    <w:p>
      <w:r>
        <w:t xml:space="preserve">(2) Der Kreisabstimmungsausschuss ermittelt für den Stimmkreis die Zahl der gültigen und ungültigen Eintragungen und übermittelt sie unverzüglich der Landesabstimmungsleiterin oder dem Landesabstimmungsleiter.</w:t>
      </w:r>
    </w:p>
    <w:p>
      <w:r>
        <w:t xml:space="preserve">(3) Der Landesabstimmungsausschuss fasst die von den Kreisabstimmungsausschüssen festgestellten Eintragungsergebnisse zu einem Eintragungsergebnis des Landes zusammen und leitet seinen Bericht unverzüglich dem Präsidium des Landtages zu.</w:t>
      </w:r>
    </w:p>
    <w:p>
      <w:r>
        <w:t xml:space="preserve">(4) Das Präsidium des Landtages stellt das Gesamtergebnis des Volksbegehrens durch Beschluss fest. Es stellt dabei insbesondere fest, ob das Volksbegehren zustande gekommen ist.</w:t>
      </w:r>
    </w:p>
    <w:p>
      <w:r>
        <w:t xml:space="preserve">(5) Das Volksbegehren ist zustande gekommen, wenn mindestens achtzigtausend stimmberechtigte Personen dem Volksbegehren ordnungsgemäß zugestimmt haben.</w:t>
      </w:r>
    </w:p>
    <w:p>
      <w:r>
        <w:t xml:space="preserve">(6) Die Präsidentin oder der Präsident des Landtages macht das Ergebnis des Volksbegehrens im Gesetz- und Verordnungsblatt für das Land Brandenburg Teil I bekannt.</w:t>
      </w:r>
    </w:p>
    <w:p>
      <w:r>
        <w:t xml:space="preserve">(7) Die Kreisabstimmungsausschüsse haben das Recht, die Feststellung der Abstimmungsbehörden nachzuprüfen. Sie können fehlerhafte Entscheidungen abändern. Der Landesabstimmungsausschuss kann Zählfehler und andere offensichtliche Unrichtigkeiten berichtigen.</w:t>
      </w:r>
    </w:p>
    <w:p>
      <w:r>
        <w:rPr>
          <w:color w:val="555555"/>
          <w:sz w:val="17"/>
        </w:rPr>
        <w:t xml:space="preserve">Zitiervorschlag: § 21 VAGBbg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https://recht.nulegal.eu/gesetze/VAGBbg/21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