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VAG-InfoV</w:t>
      </w:r>
    </w:p>
    <w:p>
      <w:r>
        <w:rPr>
          <w:color w:val="555555"/>
          <w:sz w:val="18"/>
        </w:rPr>
        <w:t xml:space="preserve">VAG-Informationspflichtenverordnung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Auf Grund des § 235a Satz 1 Nummer 1 bis 3 und 5 bis 8, auch in Verbindung mit § 144 Absatz 1 und § 62 Absatz 1 Satz 2 Nummer 5 sowie § 237 Absatz 1 Satz 1 des Versicherungsaufsichtsgesetzes vom 1. April 2015 (BGBl. I S. 434), von denen § 235a durch Artikel 1 Nummer 28 des Gesetzes vom 19. Dezember 2018 (BGBl. I S. 2672) eingefügt worden ist sowie § 144 Absatz 1 durch Artikel 1 Nummer 14 des Gesetzes vom 19. Dezember 2018 (BGBl. I S. 2672) und § 237 durch Artikel 1 Nummer 30 des Gesetzes vom 19. Dezember 2018 (BGBl. I S. 2672) geändert worden ist, verordnet das Bundesministerium der Finanzen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VAG-InfoV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https://recht.nulegal.eu/gesetze/VAG-InfoV/eingangsformel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