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VAG-InfoV — Inkrafttreten</w:t>
      </w:r>
    </w:p>
    <w:p>
      <w:r>
        <w:rPr>
          <w:color w:val="555555"/>
          <w:sz w:val="18"/>
        </w:rPr>
        <w:t xml:space="preserve">VAG-Informationspflichtenverordnung</w:t>
      </w:r>
    </w:p>
    <w:p>
      <w:r>
        <w:rPr>
          <w:color w:val="555555"/>
          <w:sz w:val="18"/>
        </w:rPr>
        <w:t xml:space="preserve">Stand: 02.07.2019 (konsolidierte Textfassung, kein amtliches Inkrafttretensdatum)</w:t>
      </w:r>
    </w:p>
    <w:p>
      <w:r>
        <w:t xml:space="preserve">Diese Verordnung tritt am Tag nach der Verkündung in Kraft.</w:t>
      </w:r>
    </w:p>
    <w:p>
      <w:r>
        <w:rPr>
          <w:color w:val="555555"/>
          <w:sz w:val="17"/>
        </w:rPr>
        <w:t xml:space="preserve">Zitiervorschlag: § 9 VAG-InfoV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https://recht.nulegal.eu/gesetze/VAG-InfoV/9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