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VAG-InfoV — Information der Versorgungsempfänger</w:t>
      </w:r>
    </w:p>
    <w:p>
      <w:r>
        <w:rPr>
          <w:color w:val="555555"/>
          <w:sz w:val="18"/>
        </w:rPr>
        <w:t xml:space="preserve">VAG-Informationspflichtenverordnung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(1) Dem Versorgungsempfänger werden mindestens alle fünf Jahre die in § 234p Absatz 1 des Versicherungsaufsichtsgesetzes genannten Informationen übermittelt.</w:t>
      </w:r>
    </w:p>
    <w:p>
      <w:r>
        <w:t xml:space="preserve">(2) Trägt der Versorgungsempfänger ein wesentliches Anlagerisiko, ist er jährlich zu informieren über</w:t>
      </w:r>
    </w:p>
    <w:p>
      <w:pPr>
        <w:ind w:left="420"/>
      </w:pPr>
      <w:r>
        <w:t xml:space="preserve">1. die Anlagemöglichkeiten und die Struktur des Anlagenportfolios sowie das Risikopotenzial, soweit der Versorgungempfänger das Anlagerisiko trägt, und</w:t>
      </w:r>
    </w:p>
    <w:p>
      <w:pPr>
        <w:ind w:left="420"/>
      </w:pPr>
      <w:r>
        <w:t xml:space="preserve">2. die Kosten der Vermögensverwaltung sowie sonstige mit der Anlage verbundene Kosten.</w:t>
      </w:r>
    </w:p>
    <w:p>
      <w:r>
        <w:rPr>
          <w:color w:val="555555"/>
          <w:sz w:val="17"/>
        </w:rPr>
        <w:t xml:space="preserve">Zitiervorschlag: § 5 VAG-InfoV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https://recht.nulegal.eu/gesetze/VAG-InfoV/5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