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VAG NRW (Nordrhein-Westfalen) — Kosten der Versicherungsaufsicht</w:t>
      </w:r>
    </w:p>
    <w:p>
      <w:r>
        <w:rPr>
          <w:color w:val="555555"/>
          <w:sz w:val="18"/>
        </w:rPr>
        <w:t xml:space="preserve">Landesversicherungsaufsichtsgesetz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Kosten für die Versicherungsaufsicht nach § 1 und § 3 tragen die beaufsichtigten Einrichtungen. Das Nähere über die Erhebung der Gebühren bestimmt das für Finanzen zuständige Ministerium durch Rechtsverordnung.</w:t>
      </w:r>
    </w:p>
    <w:p>
      <w:r>
        <w:rPr>
          <w:color w:val="555555"/>
          <w:sz w:val="17"/>
        </w:rPr>
        <w:t xml:space="preserve">Zitiervorschlag: § 4 VAG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