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VAG 2016 — Struktur der Standardformel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die Solvabilitätskapitalanforderung mit der Standardformel berechnet, so setzt sie sich aus den folgenden Bestandteilen zusammen:</w:t>
      </w:r>
    </w:p>
    <w:p>
      <w:pPr>
        <w:ind w:left="420"/>
      </w:pPr>
      <w:r>
        <w:t xml:space="preserve">1. der Basissolvabilitätskapitalanforderung gemäß den §§ 100 bis 106,</w:t>
      </w:r>
    </w:p>
    <w:p>
      <w:pPr>
        <w:ind w:left="420"/>
      </w:pPr>
      <w:r>
        <w:t xml:space="preserve">2. der Kapitalanforderung für das operationelle Risiko gemäß § 107 und</w:t>
      </w:r>
    </w:p>
    <w:p>
      <w:pPr>
        <w:ind w:left="420"/>
      </w:pPr>
      <w:r>
        <w:t xml:space="preserve">3. der Anpassung für die Verlustausgleichsfähigkeit der versicherungstechnischen Rückstellungen und latenten Steuern gemäß § 108.</w:t>
      </w:r>
    </w:p>
    <w:p>
      <w:r>
        <w:rPr>
          <w:color w:val="555555"/>
          <w:sz w:val="17"/>
        </w:rPr>
        <w:t xml:space="preserve">Zitiervorschlag: § 99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https://recht.nulegal.eu/gesetze/VAG%202016/99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