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VAG 2016 — Häufigkeit der Berechnung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Versicherungsunternehmen müssen die Solvabilitätskapitalanforderung mindestens einmal im Jahr berechnen und das Ergebnis dieser Berechnung der Aufsichtsbehörde melden. Die Versicherungsunternehmen überwachen laufend die Höhe der Solvabilitätskapitalanforderung und den Betrag der vorhandenen anrechnungsfähigen Eigenmittel.</w:t>
      </w:r>
    </w:p>
    <w:p>
      <w:r>
        <w:t xml:space="preserve">(2) Weicht das Risikoprofil eines Versicherungsunternehmens wesentlich von den Annahmen ab, die Grundlage der zuletzt gemeldeten Solvabilitätskapitalanforderung waren, so hat das Unternehmen die Solvabilitätskapitalanforderung unverzüglich neu zu berechnen und der Aufsichtsbehörde zu melden.</w:t>
      </w:r>
    </w:p>
    <w:p>
      <w:r>
        <w:t xml:space="preserve">(3) Rechtfertigen Tatsachen die Annahme, dass sich das Risikoprofil des Versicherungsunternehmens seit der letzten Meldung der Solvabilitätskapitalanforderung wesentlich verändert hat, kann die Aufsichtsbehörde von dem Unternehmen die Neuberechnung der Solvabilitätskapitalanforderung verlangen.</w:t>
      </w:r>
    </w:p>
    <w:p>
      <w:r>
        <w:rPr>
          <w:color w:val="555555"/>
          <w:sz w:val="17"/>
        </w:rPr>
        <w:t xml:space="preserve">Zitiervorschlag: § 98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