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VAG 2016 — Ermittlung der Solvabilitätskapitalanforderung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Solvabilitätskapitalanforderung kann mit Hilfe einer Standardformel oder eines internen Modells ermittelt werden. In beiden Fällen gelten für die Ermittlung der Solvabilitätskapitalanforderung die Vorschriften des § 97.</w:t>
      </w:r>
    </w:p>
    <w:p>
      <w:r>
        <w:t xml:space="preserve">(2) Weicht das Risikoprofil des Versicherungsunternehmens wesentlich von den Annahmen ab, die der Berechnung mit der Standardformel zugrunde liegen, kann die Aufsichtsbehörde anordnen, dass das Versicherungsunternehmen ein internes Modell zur Berechnung der Solvabilitätskapitalanforderung oder der relevanten Risikomodule dieser Anforderung innerhalb eines angemessenen Zeitraums entwickelt und verwendet.</w:t>
      </w:r>
    </w:p>
    <w:p>
      <w:r>
        <w:rPr>
          <w:color w:val="555555"/>
          <w:sz w:val="17"/>
        </w:rPr>
        <w:t xml:space="preserve">Zitiervorschlag: § 96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