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95 VAG 2016 — Eigenmittel zur Einhaltung der Mindestkapitalanforderung</w:t>
      </w:r>
    </w:p>
    <w:p>
      <w:r>
        <w:rPr>
          <w:color w:val="555555"/>
          <w:sz w:val="18"/>
        </w:rPr>
        <w:t xml:space="preserve">Versicherungsaufsichtsgesetz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Für die Einhaltung der Mindestkapitalanforderung setzen sich die anrechnungsfähigen Eigenmittel nur aus Eigenmitteln der Qualitätsklasse 1 und anrechnungsfähigen Basiseigenmitteln der Qualitätsklasse 2 zusammen.</w:t>
      </w:r>
    </w:p>
    <w:p>
      <w:r>
        <w:t xml:space="preserve">(2) Die Eigenmittelbestandteile der Qualitätsklasse 1 bedecken mindestens die Hälfte der Mindestkapitalanforderung.</w:t>
      </w:r>
    </w:p>
    <w:p>
      <w:r>
        <w:rPr>
          <w:color w:val="555555"/>
          <w:sz w:val="17"/>
        </w:rPr>
        <w:t xml:space="preserve">Zitiervorschlag: § 95 VAG 2016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https://recht.nulegal.eu/gesetze/VAG%202016/95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