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94 VAG 2016 — Eigenmittel zur Einhaltung der Solvabilitätskapitalanforderung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Einhaltung der Solvabilitätskapitalanforderung setzen sich die anrechnungsfähigen Eigenmittel zusammen aus Eigenmitteln der Qualitätsklasse 1 und aus anrechnungsfähigen Eigenmitteln der Qualitätsklassen 2 und 3.</w:t>
      </w:r>
    </w:p>
    <w:p>
      <w:r>
        <w:t xml:space="preserve">(2) Die Eigenmittelbestandteile der Qualitätsklassen 2 und 3 sind nur anrechnungsfähig, soweit zumindest folgende Bedingungen erfüllt sind:</w:t>
      </w:r>
    </w:p>
    <w:p>
      <w:pPr>
        <w:ind w:left="420"/>
      </w:pPr>
      <w:r>
        <w:t xml:space="preserve">1. die Eigenmittelbestandteile der Qualitätsklasse 1 betragen mindestens ein Drittel der Solvabilitätskapitalanforderung und</w:t>
      </w:r>
    </w:p>
    <w:p>
      <w:pPr>
        <w:ind w:left="420"/>
      </w:pPr>
      <w:r>
        <w:t xml:space="preserve">2. der anrechnungsfähige Betrag der Eigenmittelbestandteile der Qualitätsklasse 3 ist kleiner als ein Drittel der Solvabilitätskapitalanforderung.</w:t>
      </w:r>
    </w:p>
    <w:p>
      <w:r>
        <w:rPr>
          <w:color w:val="555555"/>
          <w:sz w:val="17"/>
        </w:rPr>
        <w:t xml:space="preserve">Zitiervorschlag: § 94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https://recht.nulegal.eu/gesetze/VAG%202016/94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