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VAG 2016 — Genehmigung ergänzender Eigenmittel</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Ergänzende Eigenmittel dürfen nur mit vorheriger Genehmigung der Aufsichtsbehörde angesetzt werden.</w:t>
      </w:r>
    </w:p>
    <w:p>
      <w:r>
        <w:t xml:space="preserve">(2) Die Aufsichtsbehörde genehmigt entweder einen Betrag für jeden ergänzenden Eigenmittelbestandteil oder eine Methode zur Bestimmung des Betrags eines jeden Eigenmittelbestandteils. Im letztgenannten Fall wird die Genehmigung nur für einen bestimmten Zeitraum erteilt und umfasst auch den nach dieser Methode ermittelten Betrag.</w:t>
      </w:r>
    </w:p>
    <w:p>
      <w:r>
        <w:t xml:space="preserve">(3) Der den einzelnen ergänzenden Eigenmittelbestandteilen zugeschriebene Betrag spiegelt die Verlustausgleichsfähigkeit des Bestandteils wider und gründet sich auf vorsichtige und realistische Annahmen. Hat ein Eigenmittelbestandteil einen festen Nominalwert, so entspricht der Betrag dieses Bestandteils seinem Nominalwert, wenn dieser Betrag seine Verlustausgleichsfähigkeit angemessen widerspiegelt.</w:t>
      </w:r>
    </w:p>
    <w:p>
      <w:r>
        <w:t xml:space="preserve">(4) Bei der Entscheidung über den Antrag auf Ansetzung ergänzender Eigenmittel berücksichtigt die Aufsichtsbehörde:</w:t>
      </w:r>
    </w:p>
    <w:p>
      <w:pPr>
        <w:ind w:left="420"/>
      </w:pPr>
      <w:r>
        <w:t xml:space="preserve">1. die Fähigkeit und Bereitschaft der Gegenparteien zur Zahlung,</w:t>
      </w:r>
    </w:p>
    <w:p>
      <w:pPr>
        <w:ind w:left="420"/>
      </w:pPr>
      <w:r>
        <w:t xml:space="preserve">2. die Einforderbarkeit der Mittel unter Berücksichtigung der rechtlichen Ausgestaltung des Bestandteils und etwaiger sonstiger Umstände, die die erfolgreiche Einzahlung oder Einforderung dieses Bestandteils verhindern können, und</w:t>
      </w:r>
    </w:p>
    <w:p>
      <w:pPr>
        <w:ind w:left="420"/>
      </w:pPr>
      <w:r>
        <w:t xml:space="preserve">3. etwaige Informationen über das Ergebnis bisheriger Einforderungen des Versicherungsunternehmens für derartige ergänzende Eigenmittel, soweit diese Informationen auf verlässliche Weise verwendet werden können, um das erwartete Ergebnis künftiger Einforderungen zu bewerten.</w:t>
      </w:r>
    </w:p>
    <w:p>
      <w:r>
        <w:rPr>
          <w:color w:val="555555"/>
          <w:sz w:val="17"/>
        </w:rPr>
        <w:t xml:space="preserve">Zitiervorschlag: § 90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