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VAG 2016 — Antrag</w:t>
      </w:r>
    </w:p>
    <w:p>
      <w:r>
        <w:rPr>
          <w:color w:val="555555"/>
          <w:sz w:val="18"/>
        </w:rPr>
        <w:t xml:space="preserve">Versicherungsaufsichtsgesetz</w:t>
      </w:r>
    </w:p>
    <w:p>
      <w:r>
        <w:rPr>
          <w:color w:val="555555"/>
          <w:sz w:val="18"/>
        </w:rPr>
        <w:t xml:space="preserve">Stand: 14.03.2026 (konsolidierte Textfassung, kein amtliches Inkrafttretensdatum)</w:t>
      </w:r>
    </w:p>
    <w:p>
      <w:r>
        <w:t xml:space="preserve">(1) Mit dem Antrag auf Erlaubnis ist der Geschäftsplan einzureichen; er hat den Zweck und die Einrichtung des Unternehmens, das Gebiet des beabsichtigten Geschäftsbetriebs sowie die Verhältnisse darzulegen, aus denen sich die künftigen Verpflichtungen des Unternehmens als dauernd erfüllbar ergeben sollen.</w:t>
      </w:r>
    </w:p>
    <w:p>
      <w:r>
        <w:t xml:space="preserve">(2) Als Bestandteil des Geschäftsplans sind einzureichen:</w:t>
      </w:r>
    </w:p>
    <w:p>
      <w:pPr>
        <w:ind w:left="420"/>
      </w:pPr>
      <w:r>
        <w:t xml:space="preserve">1. die Satzung, soweit sie sich nicht auf allgemeine Versicherungsbedingungen bezieht;</w:t>
      </w:r>
    </w:p>
    <w:p>
      <w:pPr>
        <w:ind w:left="420"/>
      </w:pPr>
      <w:r>
        <w:t xml:space="preserve">2. Angaben darüber, welche Versicherungssparten betrieben und welche Risiken einer Versicherungssparte gedeckt werden sollen; bei Unternehmen, die ausschließlich die Rückversicherung betreiben wollen, stattdessen Angaben darüber, welche Risiken im Wege der Rückversicherung gedeckt werden sollen, und über die Arten von Rückversicherungsverträgen, die das Rückversicherungsunternehmen mit den Vorversicherern zu schließen beabsichtigt;</w:t>
      </w:r>
    </w:p>
    <w:p>
      <w:pPr>
        <w:ind w:left="420"/>
      </w:pPr>
      <w:r>
        <w:t xml:space="preserve">3. die Grundzüge der Rückversicherung und Retrozession;</w:t>
      </w:r>
    </w:p>
    <w:p>
      <w:pPr>
        <w:ind w:left="420"/>
      </w:pPr>
      <w:r>
        <w:t xml:space="preserve">4. Angaben über die Basiseigenmittelbestandteile, die die absolute Grenze der Mindestkapitalanforderung bedecken sollen sowie</w:t>
      </w:r>
    </w:p>
    <w:p>
      <w:pPr>
        <w:ind w:left="420"/>
      </w:pPr>
      <w:r>
        <w:t xml:space="preserve">5. eine Schätzung der für den Aufbau der Verwaltung und des Vertreternetzes erforderlichen Aufwendungen; das Unternehmen hat nachzuweisen, dass die dafür erforderlichen Mittel (Organisationsfonds) zur Verfügung stehen; wenn die Erlaubnis zum Geschäftsbetrieb der in der Anlage 1 Nummer 18 genannten Versicherungssparte beantragt wird, Angaben über die Mittel, über die das Unternehmen verfügt, um die zugesagte Beistandsleistung zu erfüllen.</w:t>
      </w:r>
    </w:p>
    <w:p>
      <w:r>
        <w:t xml:space="preserve">(3) Zusätzlich hat das Versicherungsunternehmen als Bestandteil des Geschäftsplans für die ersten drei Geschäftsjahre vorzulegen:</w:t>
      </w:r>
    </w:p>
    <w:p>
      <w:pPr>
        <w:ind w:left="420"/>
      </w:pPr>
      <w:r>
        <w:t xml:space="preserve">1. eine Plan-Bilanz und eine Plan-Gewinn-und-Verlustrechnung;</w:t>
      </w:r>
    </w:p>
    <w:p>
      <w:pPr>
        <w:ind w:left="420"/>
      </w:pPr>
      <w:r>
        <w:t xml:space="preserve">2. Schätzungen der künftigen Solvabilitätskapitalanforderung auf der Grundlage der in Nummer 1 genannten Plan-Bilanz und Plan-Gewinn-und-Verlustrechnung sowie die Berechnungsmethode, aus der sich die Schätzungen ableiten;</w:t>
      </w:r>
    </w:p>
    <w:p>
      <w:pPr>
        <w:ind w:left="420"/>
      </w:pPr>
      <w:r>
        <w:t xml:space="preserve">3. Schätzungen der künftigen Mindestkapitalanforderung auf der Grundlage der in Nummer 1 genannten Plan-Bilanz und Plan-Gewinn-und-Verlustrechnung sowie die Berechnungsmethode, aus der sich die Schätzungen ableiten;</w:t>
      </w:r>
    </w:p>
    <w:p>
      <w:pPr>
        <w:ind w:left="420"/>
      </w:pPr>
      <w:r>
        <w:t xml:space="preserve">4. eine Schätzung der jeweiligen finanziellen Mittel, die voraussichtlich zur Verfügung stehen,</w:t>
      </w:r>
    </w:p>
    <w:p>
      <w:pPr>
        <w:ind w:left="780"/>
      </w:pPr>
      <w:r>
        <w:t xml:space="preserve">a) um die versicherungstechnischen Rückstellungen zu bedecken,</w:t>
      </w:r>
    </w:p>
    <w:p>
      <w:pPr>
        <w:ind w:left="780"/>
      </w:pPr>
      <w:r>
        <w:t xml:space="preserve">b) um die Mindestkapitalanforderung und die Solvabilitätskapitalanforderung einzuhalten;</w:t>
      </w:r>
    </w:p>
    <w:p>
      <w:pPr>
        <w:ind w:left="420"/>
      </w:pPr>
      <w:r>
        <w:t xml:space="preserve">5. für Nichtlebensversicherungen und Rückversicherungen</w:t>
      </w:r>
    </w:p>
    <w:p>
      <w:pPr>
        <w:ind w:left="780"/>
      </w:pPr>
      <w:r>
        <w:t xml:space="preserve">a) eine Übersicht über die voraussichtlichen Verwaltungskosten, insbesondere die laufenden Gemeinkosten und Provisionen, ohne die Aufwendungen für den Aufbau der Verwaltung,</w:t>
      </w:r>
    </w:p>
    <w:p>
      <w:pPr>
        <w:ind w:left="780"/>
      </w:pPr>
      <w:r>
        <w:t xml:space="preserve">b) eine Übersicht über die voraussichtlichen Beitragsaufkommen und die voraussichtliche Schadenbelastung sowie</w:t>
      </w:r>
    </w:p>
    <w:p>
      <w:pPr>
        <w:ind w:left="420"/>
      </w:pPr>
      <w:r>
        <w:t xml:space="preserve">6. für Lebensversicherungen einen Plan, aus dem die Schätzungen der Einnahmen und Ausgaben bei Erstversicherungsgeschäften wie auch im aktiven und passiven Rückversicherungsgeschäft im Einzelnen hervorgehen.</w:t>
      </w:r>
    </w:p>
    <w:p>
      <w:r>
        <w:t xml:space="preserve">Muss das Unternehmen eine Solvabilitätsübersicht nach Kapitel 2 Abschnitt 2 nicht erstellen, ist die Einschätzung nach Satz 1 Nummer 4 Buchstabe a ausschließlich für die versicherungstechnischen Rückstellungen nach dem Handelsgesetzbuch abzugeben.</w:t>
      </w:r>
    </w:p>
    <w:p>
      <w:r>
        <w:t xml:space="preserve">(4) Zusätzlich sind einzureichen:</w:t>
      </w:r>
    </w:p>
    <w:p>
      <w:pPr>
        <w:ind w:left="420"/>
      </w:pPr>
      <w:r>
        <w:t xml:space="preserve">1. Angaben über Art und Umfang der Geschäftsorganisation einschließlich</w:t>
      </w:r>
    </w:p>
    <w:p>
      <w:pPr>
        <w:ind w:left="780"/>
      </w:pPr>
      <w:r>
        <w:t xml:space="preserve">a) der Angaben, die für die Beurteilung der in § 24 genannten Voraussetzungen wesentlich sind; dies gilt für Geschäftsleiter, andere Personen, die das Unternehmen tatsächlich leiten, die Mitglieder des Aufsichtsrats, den Verantwortlichen Aktuar sowie für die weiteren Personen, die für andere Schlüsselaufgaben verantwortlich sind,</w:t>
      </w:r>
    </w:p>
    <w:p>
      <w:pPr>
        <w:ind w:left="780"/>
      </w:pPr>
      <w:r>
        <w:t xml:space="preserve">b) der Angaben zu Unternehmensverträgen der in den §§ 291 und 292 des Aktiengesetzes bezeichneten Art und</w:t>
      </w:r>
    </w:p>
    <w:p>
      <w:pPr>
        <w:ind w:left="780"/>
      </w:pPr>
      <w:r>
        <w:t xml:space="preserve">c) der Angaben zu Verträgen über die Ausgliederung wichtiger Funktionen oder Tätigkeiten;</w:t>
      </w:r>
    </w:p>
    <w:p>
      <w:pPr>
        <w:ind w:left="420"/>
      </w:pPr>
      <w:r>
        <w:t xml:space="preserve">2. sofern an dem Versicherungsunternehmen bedeutende Beteiligungen gehalten werden,</w:t>
      </w:r>
    </w:p>
    <w:p>
      <w:pPr>
        <w:ind w:left="780"/>
      </w:pPr>
      <w:r>
        <w:t xml:space="preserve">a) die Angabe der Inhaber und der Höhe der Beteiligungen,</w:t>
      </w:r>
    </w:p>
    <w:p>
      <w:pPr>
        <w:ind w:left="780"/>
      </w:pPr>
      <w:r>
        <w:t xml:space="preserve">b) Angaben zu den Tatsachen, die für die Beurteilung der in § 16 genannten Anforderungen erforderlich sind,</w:t>
      </w:r>
    </w:p>
    <w:p>
      <w:pPr>
        <w:ind w:left="780"/>
      </w:pPr>
      <w:r>
        <w:t xml:space="preserve">c) sofern die Inhaber der bedeutenden Beteiligungen Jahresabschlüsse aufzustellen haben: die Jahresabschlüsse der letzten drei Geschäftsjahre nebst Prüfungsberichten von unabhängigen Abschlussprüfern, sofern solche zu erstellen sind, und</w:t>
      </w:r>
    </w:p>
    <w:p>
      <w:pPr>
        <w:ind w:left="780"/>
      </w:pPr>
      <w:r>
        <w:t xml:space="preserve">d) sofern diese Inhaber einem Konzern angehören: die Angabe der Konzernstruktur und, sofern solche Abschlüsse aufzustellen sind, die konsolidierten Konzernabschlüsse der letzten drei Geschäftsjahre nebst Prüfungsberichten von unabhängigen Abschlussprüfern, sofern solche Prüfungsberichte zu erstellen sind und der Herausgabe an den Antragsteller nach deutschem Recht keine Hindernisse entgegenstehen;</w:t>
      </w:r>
    </w:p>
    <w:p>
      <w:pPr>
        <w:ind w:left="420"/>
      </w:pPr>
      <w:r>
        <w:t xml:space="preserve">3. Angaben zu den Tatsachen, die auf eine enge Verbindung zwischen dem Versicherungsunternehmen und anderen natürlichen Personen oder Unternehmen hinweisen;</w:t>
      </w:r>
    </w:p>
    <w:p>
      <w:pPr>
        <w:ind w:left="420"/>
      </w:pPr>
      <w:r>
        <w:t xml:space="preserve">4. (weggefallen)</w:t>
      </w:r>
    </w:p>
    <w:p>
      <w:pPr>
        <w:ind w:left="420"/>
      </w:pPr>
      <w:r>
        <w:t xml:space="preserve">5. für die Krankenversicherung im Sinne des § 146 Absatz 1</w:t>
      </w:r>
    </w:p>
    <w:p>
      <w:pPr>
        <w:ind w:left="780"/>
      </w:pPr>
      <w:r>
        <w:t xml:space="preserve">a) die Grundsätze für die Berechnung der Prämien und der versicherungstechnischen Rückstellungen im Sinne der §§ 341e bis 341h des Handelsgesetzbuchs einschließlich der verwendeten Rechnungsgrundlagen, mathematischen Formeln, kalkulatorischen Herleitungen und statistischen Nachweise und</w:t>
      </w:r>
    </w:p>
    <w:p>
      <w:pPr>
        <w:ind w:left="780"/>
      </w:pPr>
      <w:r>
        <w:t xml:space="preserve">b) die allgemeinen Versicherungsbedingungen sowie</w:t>
      </w:r>
    </w:p>
    <w:p>
      <w:pPr>
        <w:ind w:left="420"/>
      </w:pPr>
      <w:r>
        <w:t xml:space="preserve">6. bei Deckung der in der Anlage 1 Nummer 10 Buchstabe a genannten Risiken die Angabe von Namen und Anschriften der gemäß § 163 zu bestellenden Schadenregulierungsbeauftragten.</w:t>
      </w:r>
    </w:p>
    <w:p>
      <w:r>
        <w:t xml:space="preserve">(5) Außer bei Anträgen auf Erteilung der Erlaubnis zum Betrieb von Versicherungsgeschäften als Sterbekasse oder als eine der in § 1 Absatz 4 genannten Einrichtungen hat die Aufsichtsbehörde vor Erteilung der Erlaubnis die zuständigen Stellen der anderen Mitglied- oder Vertragsstaaten anzuhören, wenn das Unternehmen</w:t>
      </w:r>
    </w:p>
    <w:p>
      <w:pPr>
        <w:ind w:left="420"/>
      </w:pPr>
      <w:r>
        <w:t xml:space="preserve">1. Tochter- oder Schwesterunternehmen eines Versicherungsunternehmens, eines CRR-Kreditinstituts im Sinne des § 1 Absatz 3d Satz 1 des Kreditwesengesetzes, eines E-Geld-Instituts im Sinne des § 1 Absatz 3d Satz 3 des Kreditwesengesetzes oder eines Wertpapierinstituts im Sinne des § 2 Absatz 1 des Wertpapierinstitutsgesetzes ist und wenn das Mutterunternehmen oder das andere Schwesterunternehmen bereits in einem anderen Mitglied- oder Vertragsstaat zugelassen ist oder</w:t>
      </w:r>
    </w:p>
    <w:p>
      <w:pPr>
        <w:ind w:left="420"/>
      </w:pPr>
      <w:r>
        <w:t xml:space="preserve">2. durch dieselben natürlichen Personen oder Unternehmen kontrolliert wird, die ein Versicherungsunternehmen, CRR-Kreditinstitut, E-Geld-Institut oder ein Wertpapierinstitut mit Sitz in einem anderen Mitglied- oder Vertragsstaat kontrollieren.</w:t>
      </w:r>
    </w:p>
    <w:p>
      <w:r>
        <w:t xml:space="preserve">Zuständig sind die Behörden der Mitglied- oder Vertragsstaaten, in denen das Mutterunternehmen, das Schwesterunternehmen oder das kontrollierende Unternehmen seine Hauptniederlassung hat oder die kontrollierenden Personen ihren gewöhnlichen Aufenthalt haben. Schwesterunternehmen im Sinne des Satzes 1 Nummer 1 sind Unternehmen, die ein gemeinsames Mutterunternehmen haben. Die Anhörung erstreckt sich insbesondere auf die Angaben, die für die Beurteilung der Zuverlässigkeit und fachlichen Eignung der in § 24 genannten Personen sowie für die Beurteilung der Zuverlässigkeit der Inhaber einer bedeutenden Beteiligung an Unternehmen derselben Gruppe im Sinne des Satzes 1 mit Sitz in dem betreffenden Mitglied- oder Vertragsstaat erforderlich sind sowie auf die Angaben zu den Eigenmitteln.</w:t>
      </w:r>
    </w:p>
    <w:p>
      <w:r>
        <w:t xml:space="preserve">(6) Beabsichtigt die Aufsichtsbehörde, ein Versicherungsunternehmen zuzulassen, das nicht dem Anwendungsbereich der Richtlinie (EU) 2016/2341 unterliegt, dessen Geschäftsplan darauf hinweist, dass ein Teil seiner Tätigkeiten auf der Dienstleistungsfreiheit oder der Niederlassungsfreiheit in einem anderen Mitgliedstaat beruhen wird und dass diese Tätigkeiten für den Markt des Aufnahmemitgliedstaats von Bedeutung sein dürften, unterrichtet sie die Europäische Aufsichtsbehörde für das Versicherungswesen und die betriebliche Altersversorgung sowie die Aufsichtsbehörden der betreffenden Mitglied- oder Vertragsstaaten. Die Unterrichtung muss ausreichend detailliert sein, damit eine ordnungsgemäße Bewertung möglich ist.</w:t>
      </w:r>
    </w:p>
    <w:p>
      <w:r>
        <w:rPr>
          <w:color w:val="555555"/>
          <w:sz w:val="17"/>
        </w:rPr>
        <w:t xml:space="preserve">Zitiervorschlag: § 9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