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 VAG 2016 — Eigenmittel</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Versicherungsunternehmen haben stets über anrechnungsfähige Eigenmittel mindestens in Höhe der Solvabilitätskapitalanforderung zu verfügen. In Höhe der Mindestkapitalanforderung haben sie stets über anrechnungsfähige Basiseigenmittel zu verfügen. Anrechnungsfähig sind Eigenmittel, die den Anforderungen der §§ 94 und 95 entsprechen.</w:t>
      </w:r>
    </w:p>
    <w:p>
      <w:r>
        <w:t xml:space="preserve">(2) Die Eigenmittel eines Versicherungsunternehmens umfassen die Basiseigenmittel und die ergänzenden Eigenmittel.</w:t>
      </w:r>
    </w:p>
    <w:p>
      <w:r>
        <w:t xml:space="preserve">(3) Basiseigenmittel sind:</w:t>
      </w:r>
    </w:p>
    <w:p>
      <w:pPr>
        <w:ind w:left="420"/>
      </w:pPr>
      <w:r>
        <w:t xml:space="preserve">1. der Überschuss der Vermögenswerte über die Verbindlichkeiten abzüglich des Betrags der eigenen Aktien in der Solvabilitätsübersicht und</w:t>
      </w:r>
    </w:p>
    <w:p>
      <w:pPr>
        <w:ind w:left="420"/>
      </w:pPr>
      <w:r>
        <w:t xml:space="preserve">2. die nachrangigen Verbindlichkeiten.</w:t>
      </w:r>
    </w:p>
    <w:p>
      <w:r>
        <w:t xml:space="preserve">(4) Die ergänzenden Eigenmittel sind solche, die nicht zu den Basiseigenmitteln zählen und zum Ausgleich von Verlusten eingefordert werden können. Sie können die folgenden Bestandteile umfassen:</w:t>
      </w:r>
    </w:p>
    <w:p>
      <w:pPr>
        <w:ind w:left="420"/>
      </w:pPr>
      <w:r>
        <w:t xml:space="preserve">1. denjenigen Teil des nicht eingezahlten Grundkapitals, des Gründungsstocks oder des bei öffentlich-rechtlichen Versicherungsunternehmen dem Grundkapital bei Aktiengesellschaften entsprechenden Postens, der nicht eingefordert wurde,</w:t>
      </w:r>
    </w:p>
    <w:p>
      <w:pPr>
        <w:ind w:left="420"/>
      </w:pPr>
      <w:r>
        <w:t xml:space="preserve">2. bei Versicherungsvereinen auf Gegenseitigkeit mit variabler Nachschussverpflichtung die künftigen Forderungen, die der Verein gegenüber seinen Mitgliedern hat, wenn er innerhalb der folgenden zwölf Monate Nachschüsse einfordert,</w:t>
      </w:r>
    </w:p>
    <w:p>
      <w:pPr>
        <w:ind w:left="420"/>
      </w:pPr>
      <w:r>
        <w:t xml:space="preserve">3. Kreditbriefe und Garantien sowie</w:t>
      </w:r>
    </w:p>
    <w:p>
      <w:pPr>
        <w:ind w:left="420"/>
      </w:pPr>
      <w:r>
        <w:t xml:space="preserve">4. alle sonstigen rechtsverbindlichen Zahlungsverpflichtungen Dritter gegenüber dem Versicherungsunternehmen.</w:t>
      </w:r>
    </w:p>
    <w:p>
      <w:r>
        <w:t xml:space="preserve">(5) Sobald ein Bestandteil der ergänzenden Eigenmittel eingezahlt oder eingefordert wurde, ist er für die Zwecke der Solvabilitätsübersicht als Vermögenswert zu behandeln und zählt zu den Basiseigenmitteln.</w:t>
      </w:r>
    </w:p>
    <w:p>
      <w:r>
        <w:rPr>
          <w:color w:val="555555"/>
          <w:sz w:val="17"/>
        </w:rPr>
        <w:t xml:space="preserve">Zitiervorschlag: § 89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