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VAG 2016 — Befugnisse der Aufsichtsbehörde in Bezug auf versicherungstechnische Rückstellungen;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Auf Verlangen der Aufsichtsbehörde haben ihr die Versicherungsunternehmen Folgendes nachzuweisen:</w:t>
      </w:r>
    </w:p>
    <w:p>
      <w:pPr>
        <w:ind w:left="420"/>
      </w:pPr>
      <w:r>
        <w:t xml:space="preserve">1. die Angemessenheit der Höhe ihrer versicherungstechnischen Rückstellungen,</w:t>
      </w:r>
    </w:p>
    <w:p>
      <w:pPr>
        <w:ind w:left="420"/>
      </w:pPr>
      <w:r>
        <w:t xml:space="preserve">2. die Eignung und die Erheblichkeit der verwendeten Methoden sowie</w:t>
      </w:r>
    </w:p>
    <w:p>
      <w:pPr>
        <w:ind w:left="420"/>
      </w:pPr>
      <w:r>
        <w:t xml:space="preserve">3. die Angemessenheit der verwendeten statistischen Basisdaten.</w:t>
      </w:r>
    </w:p>
    <w:p>
      <w:r>
        <w:t xml:space="preserve">(2) Soweit die von dem Versicherungsunternehmen vorgenommene Berechnung der versicherungstechnischen Rückstellung nicht den Vorschriften der §§ 75 bis 87 entspricht, kann die Aufsichtsbehörde eine Erhöhung des Betrags der versicherungstechnischen Rückstellungen bis zu der nach den genannten Vorschriften vorgesehenen Höhe anordnen.</w:t>
      </w:r>
    </w:p>
    <w:p>
      <w:r>
        <w:t xml:space="preserve">(3) Das Bundesministerium der Finanzen wird ermächtigt, im Einvernehmen mit dem Bundesministerium der Justiz und für Verbraucherschutz durch Rechtsverordnung zur Berechnung der Deckungsrückstellung unter Beachtung der Grundsätze ordnungsmäßiger Buchführung</w:t>
      </w:r>
    </w:p>
    <w:p>
      <w:pPr>
        <w:ind w:left="420"/>
      </w:pPr>
      <w:r>
        <w:t xml:space="preserve">1. bei Versicherungsverträgen mit Zinsgarantie einen oder mehrere Höchstwerte für den Rechnungszins festzusetzen,</w:t>
      </w:r>
    </w:p>
    <w:p>
      <w:pPr>
        <w:ind w:left="420"/>
      </w:pPr>
      <w:r>
        <w:t xml:space="preserve">2. weitere Vorgaben zur Ermittlung der Diskontierungszinssätze nach § 341f Absatz 2 des Handelsgesetzbuchs festzulegen,</w:t>
      </w:r>
    </w:p>
    <w:p>
      <w:pPr>
        <w:ind w:left="420"/>
      </w:pPr>
      <w:r>
        <w:t xml:space="preserve">3. die Höchstbeträge für die Zillmerung festzusetzen und</w:t>
      </w:r>
    </w:p>
    <w:p>
      <w:pPr>
        <w:ind w:left="420"/>
      </w:pPr>
      <w:r>
        <w:t xml:space="preserve">4. die versicherungsmathematischen Rechnungsgrundlagen und die Bewertungsmethoden für die Deckungsrückstellung festzulegen.</w:t>
      </w:r>
    </w:p>
    <w:p>
      <w:r>
        <w:t xml:space="preserve">Auf Unfallversicherungen der in § 161 genannten Art sowie für Rentenleistungen aus den in § 162 genannten Versicherungen ist Satz 1 entsprechend anzuwenden. Die Ermächtigung kann durch Rechtsverordnung im Einvernehmen mit dem Bundesministerium der Justiz und für Verbraucherschutz auf die Bundesanstalt übertragen werden. Rechtsverordnungen nach den Sätzen 1 bis 3 bedürfen nicht der Zustimmung des Bundesrates.</w:t>
      </w:r>
    </w:p>
    <w:p>
      <w:r>
        <w:rPr>
          <w:color w:val="555555"/>
          <w:sz w:val="17"/>
        </w:rPr>
        <w:t xml:space="preserve">Zitiervorschlag: § 88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