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VAG 2016 — Vergleich mit Erfahrungsdaten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haben durch geeignete Prozesse und Verfahren sicherzustellen, dass die besten Schätzwerte und die Annahmen, die deren Berechnung zugrunde liegen, regelmäßig mit Erfahrungsdaten verglichen werden.</w:t>
      </w:r>
    </w:p>
    <w:p>
      <w:r>
        <w:t xml:space="preserve">(2) Zeigt der Vergleich eine systematische Abweichung zwischen den Berechnungen des besten Schätzwerts und den Erfahrungsdaten, hat das betreffende Unternehmen entsprechende Anpassungen der verwendeten versicherungsmathematischen Methoden oder der zugrunde liegenden Annahmen vorzunehmen.</w:t>
      </w:r>
    </w:p>
    <w:p>
      <w:r>
        <w:rPr>
          <w:color w:val="555555"/>
          <w:sz w:val="17"/>
        </w:rPr>
        <w:t xml:space="preserve">Zitiervorschlag: § 87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