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VAG 2016 — Einforderbare Beträge aus Rückversicherungsverträgen und gegenüber Zweckgesellschaften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Berechnung der einforderbaren Beträge aus Rückversicherungsverträgen und gegenüber Zweckgesellschaften erfolgt nach Maßgabe der §§ 75 bis 85.</w:t>
      </w:r>
    </w:p>
    <w:p>
      <w:r>
        <w:t xml:space="preserve">(2) Bei der Berechnung dieser einforderbaren Beträge ist die zeitliche Differenz zwischen dem Erhalt der Beträge und den Auszahlungen an die Anspruchsteller zu berücksichtigen.</w:t>
      </w:r>
    </w:p>
    <w:p>
      <w:r>
        <w:t xml:space="preserve">(3) Das Ergebnis dieser Berechnung ist anzupassen, um den im Fall des Ausfalls der Gegenpartei zu erwartenden Verlusten Rechnung zu tragen. Die Anpassung gründet sich auf eine Einschätzung der Ausfallwahrscheinlichkeit der Gegenpartei und des sich daraus ergebenden durchschnittlichen Verlusts.</w:t>
      </w:r>
    </w:p>
    <w:p>
      <w:r>
        <w:rPr>
          <w:color w:val="555555"/>
          <w:sz w:val="17"/>
        </w:rPr>
        <w:t xml:space="preserve">Zitiervorschlag: § 86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