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VAG 2016 — Finanzgarantien und vertragliche Optionen in den Versicherungsverträgen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Berechnung der versicherungstechnischen Rückstellungen ist der Wert der Finanzgarantien und sonstiger vertraglicher Optionen zu berücksichtigen, die Gegenstand der Versicherungsverträge sind.</w:t>
      </w:r>
    </w:p>
    <w:p>
      <w:r>
        <w:t xml:space="preserve">(2) Die Annahmen in Bezug auf die Wahrscheinlichkeit, dass die Versicherungsnehmer ihre vertraglichen Optionen einschließlich der Storno- und Rückkaufsrechte ausüben werden, sind realistisch zu wählen und müssen sich auf aktuelle und glaubhafte Informationen stützen.</w:t>
      </w:r>
    </w:p>
    <w:p>
      <w:r>
        <w:t xml:space="preserve">(3) Die Annahmen tragen entweder explizit oder implizit den Auswirkungen Rechnung, die künftige Veränderungen der Finanz- und Nichtfinanzbedingungen auf die Ausübung dieser Optionen haben könnten.</w:t>
      </w:r>
    </w:p>
    <w:p>
      <w:r>
        <w:rPr>
          <w:color w:val="555555"/>
          <w:sz w:val="17"/>
        </w:rPr>
        <w:t xml:space="preserve">Zitiervorschlag: § 85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