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VAG 2016 — Weitere Sachverhalte, die bei der Berechnung der versicherungstechnischen Rückstellungen zu berücksichtigen sind</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Bei der Berechnung der versicherungstechnischen Rückstellungen sind ferner die folgenden Sachverhalte zu berücksichtigen:</w:t>
      </w:r>
    </w:p>
    <w:p>
      <w:pPr>
        <w:ind w:left="420"/>
      </w:pPr>
      <w:r>
        <w:t xml:space="preserve">1. sämtliche bei der Bedienung der Versicherungsverpflichtungen anfallenden Aufwendungen,</w:t>
      </w:r>
    </w:p>
    <w:p>
      <w:pPr>
        <w:ind w:left="420"/>
      </w:pPr>
      <w:r>
        <w:t xml:space="preserve">2. die Inflation einschließlich der Inflation der Aufwendungen und der Versicherungsansprüche sowie</w:t>
      </w:r>
    </w:p>
    <w:p>
      <w:pPr>
        <w:ind w:left="420"/>
      </w:pPr>
      <w:r>
        <w:t xml:space="preserve">3. sämtliche Zahlungen an Versicherungsnehmer und Anspruchsberechtigte, einschließlich künftiger Überschussbeteiligungen, die die Versicherungsunternehmen erwarten vorzunehmen, unabhängig davon, ob sie vertraglich garantiert sind oder nicht.</w:t>
      </w:r>
    </w:p>
    <w:p>
      <w:r>
        <w:t xml:space="preserve">(2) Bei Lebensversicherungen, bei nach Art der Lebensversicherung betriebenen Krankenversicherungen und bei Unfallversicherungen mit Prämienrückgewähr sind künftige Zahlungsströme an Versicherungsnehmer und Anspruchsberechtigte aus dem Teil der zum Bewertungsstichtag vorhandenen Rückstellung für Beitragsrückerstattung, der zum Ausgleich von Verlusten verwendet werden darf und nicht auf festgelegte Überschussanteile entfällt, nicht als erwartete Zahlungen im Sinne des Absatzes 1 Nummer 3 anzusehen.</w:t>
      </w:r>
    </w:p>
    <w:p>
      <w:r>
        <w:rPr>
          <w:color w:val="555555"/>
          <w:sz w:val="17"/>
        </w:rPr>
        <w:t xml:space="preserve">Zitiervorschlag: § 84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