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VAG 2016 — Zu berücksichtigende technische Informationen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Wenn Durchführungsrechtsakte mit den in Artikel 77e Absatz 1 genannten technischen Informationen gemäß Artikel 77e Absatz 2 der Richtlinie 2009/138/EG von der Kommission erlassen werden, müssen die Versicherungsunternehmen diese technischen Informationen für die Berechnung des besten Schätzwerts nach § 77, der Matching-Anpassung nach § 80 und der Volatilitätsanpassung nach § 82 nutzen.</w:t>
      </w:r>
    </w:p>
    <w:p>
      <w:r>
        <w:t xml:space="preserve">(2) Wenn die Kommission eine erhöhte Volatilitätsanpassung für ein Land veröffentlicht, müssen die Versicherungsunternehmen, die von § 82 Gebrauch machen, diese zur Berechnung des besten Schätzwerts für Versicherungs- und Rückversicherungsverpflichtungen aus Verträgen anwenden, die auf dem Versicherungsmarkt dieses Landes vertrieben werden.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83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