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VAG 2016 — Volatilitätsanpassung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Versicherungsunternehmen können mit Genehmigung der Aufsichtsbehörde eine Volatilitätsanpassung der maßgeblichen risikofreien Zinskurve zur Berechnung des besten Schätzwerts nach § 77 vornehmen.</w:t>
      </w:r>
    </w:p>
    <w:p>
      <w:r>
        <w:t xml:space="preserve">(2) Die Volatilitätsanpassung darf nicht für Versicherungsverpflichtungen vorgenommen werden, bei denen für die maßgebliche risikofreie Zinskurve zur Berechnung des besten Schätzwerts für diese Verpflichtungen eine Matching-Anpassung nach § 80 erfolgt.</w:t>
      </w:r>
    </w:p>
    <w:p>
      <w:r>
        <w:t xml:space="preserve">(3) Abweichend von § 97 deckt die Solvabilitätskapitalanforderung nicht das Verlustrisiko für Basiseigenmittel aus Änderungen der Volatilitätsanpassung.</w:t>
      </w:r>
    </w:p>
    <w:p>
      <w:r>
        <w:rPr>
          <w:color w:val="555555"/>
          <w:sz w:val="17"/>
        </w:rPr>
        <w:t xml:space="preserve">Zitiervorschlag: § 82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